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0A" w:rsidRPr="00C119D6" w:rsidRDefault="00EF550A" w:rsidP="00EF5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EF550A" w:rsidRPr="00C119D6" w:rsidRDefault="00076287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EF550A" w:rsidRPr="00C119D6">
        <w:rPr>
          <w:b/>
          <w:sz w:val="20"/>
          <w:szCs w:val="20"/>
        </w:rPr>
        <w:t xml:space="preserve"> семестр 202</w:t>
      </w:r>
      <w:r w:rsidR="00A54105">
        <w:rPr>
          <w:b/>
          <w:sz w:val="20"/>
          <w:szCs w:val="20"/>
        </w:rPr>
        <w:t>4</w:t>
      </w:r>
      <w:r w:rsidR="00EF550A" w:rsidRPr="00C119D6">
        <w:rPr>
          <w:b/>
          <w:sz w:val="20"/>
          <w:szCs w:val="20"/>
        </w:rPr>
        <w:t>-202</w:t>
      </w:r>
      <w:r w:rsidR="00A54105">
        <w:rPr>
          <w:b/>
          <w:sz w:val="20"/>
          <w:szCs w:val="20"/>
        </w:rPr>
        <w:t>5</w:t>
      </w:r>
      <w:r w:rsidR="00EF550A" w:rsidRPr="00C119D6">
        <w:rPr>
          <w:b/>
          <w:sz w:val="20"/>
          <w:szCs w:val="20"/>
        </w:rPr>
        <w:t xml:space="preserve"> учебного года</w:t>
      </w:r>
    </w:p>
    <w:p w:rsidR="00EF550A" w:rsidRPr="00C5042B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B29CC">
        <w:rPr>
          <w:b/>
          <w:sz w:val="20"/>
          <w:szCs w:val="20"/>
        </w:rPr>
        <w:t>:</w:t>
      </w:r>
      <w:r w:rsidRPr="00C119D6">
        <w:rPr>
          <w:b/>
          <w:sz w:val="20"/>
          <w:szCs w:val="20"/>
        </w:rPr>
        <w:t xml:space="preserve"> </w:t>
      </w:r>
      <w:r w:rsidR="00615548" w:rsidRPr="00615548">
        <w:rPr>
          <w:b/>
          <w:iCs/>
          <w:color w:val="000000"/>
          <w:sz w:val="20"/>
          <w:szCs w:val="20"/>
          <w:shd w:val="clear" w:color="auto" w:fill="F1F1F1"/>
        </w:rPr>
        <w:t>7M04220 Криминалистические экспертизы</w:t>
      </w:r>
      <w:r w:rsidR="00C5042B">
        <w:rPr>
          <w:b/>
          <w:iCs/>
          <w:color w:val="000000"/>
          <w:sz w:val="20"/>
          <w:szCs w:val="20"/>
          <w:shd w:val="clear" w:color="auto" w:fill="F1F1F1"/>
        </w:rPr>
        <w:t xml:space="preserve">, </w:t>
      </w:r>
      <w:bookmarkStart w:id="0" w:name="_GoBack"/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>7M03101 Социология,</w:t>
      </w:r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 xml:space="preserve"> </w:t>
      </w:r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>M11401 Социальная работа, 7M03202 Журналистика,</w:t>
      </w:r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 xml:space="preserve"> </w:t>
      </w:r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>7M01805 Социальная педагогика,</w:t>
      </w:r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 xml:space="preserve"> </w:t>
      </w:r>
      <w:r w:rsidR="00C5042B" w:rsidRPr="00C5042B">
        <w:rPr>
          <w:b/>
          <w:iCs/>
          <w:color w:val="000000"/>
          <w:sz w:val="20"/>
          <w:szCs w:val="20"/>
          <w:shd w:val="clear" w:color="auto" w:fill="F1F1F1"/>
        </w:rPr>
        <w:t>7M01101 Педагогика и психология, 7M01105 Педагогика. Менеджмент в образовании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F550A" w:rsidRPr="003F2DC5" w:rsidTr="00A7779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bookmarkEnd w:id="0"/>
          <w:p w:rsidR="00EF550A" w:rsidRPr="00364ECC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466591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EF550A" w:rsidRPr="00AC0EFC" w:rsidRDefault="00EF550A" w:rsidP="00A7779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F550A" w:rsidRPr="00AC0EFC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883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6F0676" w:rsidRDefault="00A54105" w:rsidP="00A7779F">
            <w:pPr>
              <w:jc w:val="center"/>
              <w:rPr>
                <w:b/>
                <w:sz w:val="20"/>
                <w:szCs w:val="20"/>
              </w:rPr>
            </w:pPr>
            <w:r w:rsidRPr="006F0676">
              <w:rPr>
                <w:b/>
                <w:sz w:val="20"/>
                <w:szCs w:val="20"/>
              </w:rPr>
              <w:t>PU5204</w:t>
            </w:r>
          </w:p>
          <w:p w:rsidR="006F0676" w:rsidRPr="0013674B" w:rsidRDefault="006F0676" w:rsidP="00A7779F">
            <w:pPr>
              <w:jc w:val="center"/>
              <w:rPr>
                <w:sz w:val="20"/>
                <w:szCs w:val="20"/>
              </w:rPr>
            </w:pPr>
            <w:r w:rsidRPr="006F0676"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DE1A6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C44D4E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6E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6E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113A2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DE1A6F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>П 7</w:t>
            </w:r>
          </w:p>
          <w:p w:rsidR="00EF550A" w:rsidRPr="0013674B" w:rsidRDefault="00EF550A" w:rsidP="00A7779F">
            <w:pPr>
              <w:rPr>
                <w:sz w:val="20"/>
                <w:szCs w:val="20"/>
                <w:lang w:val="kk-KZ"/>
              </w:rPr>
            </w:pPr>
          </w:p>
        </w:tc>
      </w:tr>
      <w:tr w:rsidR="00EF550A" w:rsidRPr="003F2DC5" w:rsidTr="00A7779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953962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EF550A" w:rsidRPr="003F2DC5" w:rsidTr="00A7779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Махмутов А.Э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EF550A" w:rsidRPr="00D73188" w:rsidRDefault="00EF550A" w:rsidP="00A7779F">
            <w:pPr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c>
          <w:tcPr>
            <w:tcW w:w="1701" w:type="dxa"/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EF550A" w:rsidRPr="00F50C75" w:rsidRDefault="00EF550A" w:rsidP="00A777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Default="00EF550A" w:rsidP="00A7779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550A" w:rsidRPr="007B6A6C" w:rsidRDefault="00EF550A" w:rsidP="00A777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618A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</w:t>
            </w:r>
            <w:r w:rsidRPr="004B618A"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B618A"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B17477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2. Hilgard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3. Кабаченко В.С. Психология управления. Учебное пособие. – М.: Юнити,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4. Кремень М.А. Психология и управление. – Мн. Харвест,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5. Морозов, А. В. Управленческая психология. - М.: Академический проект; Трикста,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Safdar S.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Р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sychology. - University of Guelph: Wiley-sons Canada.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Ltd.,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EF550A" w:rsidRPr="00407938" w:rsidRDefault="00EF550A" w:rsidP="00A7779F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EF550A" w:rsidRPr="003F2DC5" w:rsidRDefault="00EF550A" w:rsidP="00EF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EF550A" w:rsidRPr="003F2DC5" w:rsidTr="00EF550A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4E7FA2" w:rsidRDefault="00EF550A" w:rsidP="00A7779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ED7803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EF550A" w:rsidRPr="00024786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EF550A" w:rsidRPr="00024786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C6051D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F550A" w:rsidRPr="00050BCA" w:rsidRDefault="00EF550A" w:rsidP="00A7779F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EF550A" w:rsidRPr="00B5382C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EF550A" w:rsidRPr="003F0CE9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F550A" w:rsidRPr="003F2DC5" w:rsidTr="00A7779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C03EF1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34309A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F550A" w:rsidRPr="003F2DC5" w:rsidTr="00A7779F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F550A" w:rsidRPr="0034309A" w:rsidRDefault="00EF550A" w:rsidP="00A7779F">
            <w:pPr>
              <w:jc w:val="both"/>
              <w:rPr>
                <w:sz w:val="16"/>
                <w:szCs w:val="16"/>
              </w:rPr>
            </w:pPr>
            <w:r w:rsidRPr="00BB1DD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A74824" w:rsidRDefault="00EF550A" w:rsidP="00A7779F">
            <w:pPr>
              <w:jc w:val="both"/>
              <w:rPr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EF550A" w:rsidRPr="003F2DC5" w:rsidTr="00A7779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0E433A" w:rsidRPr="003F2DC5" w:rsidTr="00A7779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0E433A" w:rsidRPr="003F2DC5" w:rsidTr="00A7779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0E433A" w:rsidRPr="003F2DC5" w:rsidTr="00A7779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25-49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0E433A" w:rsidRPr="003F2DC5" w:rsidTr="000E433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0-24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550A" w:rsidRPr="00A955F4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550A" w:rsidRPr="00A953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3F2DC5" w:rsidRDefault="00EF550A" w:rsidP="000B628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0B628E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7D7E09"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C07F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>СЗ 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514830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514830"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 w:rsidRPr="00BF67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4C452A"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E7500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036EE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="004036EE">
              <w:rPr>
                <w:bCs/>
                <w:sz w:val="20"/>
                <w:szCs w:val="20"/>
              </w:rPr>
              <w:t>Консультация по выполнению СРО</w:t>
            </w:r>
            <w:r w:rsidRPr="00CE7500">
              <w:rPr>
                <w:bCs/>
                <w:sz w:val="20"/>
                <w:szCs w:val="20"/>
              </w:rPr>
              <w:t>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CE7500">
              <w:rPr>
                <w:b/>
                <w:sz w:val="20"/>
                <w:szCs w:val="20"/>
              </w:rPr>
              <w:t xml:space="preserve"> 1.  </w:t>
            </w:r>
            <w:r w:rsidR="00EF550A" w:rsidRPr="00CE7500"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CE7500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2. </w:t>
            </w:r>
            <w:r w:rsidR="004036EE">
              <w:rPr>
                <w:sz w:val="20"/>
                <w:szCs w:val="20"/>
              </w:rPr>
              <w:t>Консультации по выполнению СРО</w:t>
            </w:r>
            <w:r w:rsidRPr="00CE7500">
              <w:rPr>
                <w:sz w:val="20"/>
                <w:szCs w:val="20"/>
              </w:rPr>
              <w:t xml:space="preserve"> 2 </w:t>
            </w:r>
          </w:p>
          <w:p w:rsidR="00EF550A" w:rsidRPr="0065211A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sz w:val="20"/>
                <w:szCs w:val="20"/>
              </w:rPr>
              <w:t>Коллоквиум – тема: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 w:rsidRPr="00CE7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CE7500">
              <w:rPr>
                <w:b/>
                <w:sz w:val="20"/>
                <w:szCs w:val="20"/>
              </w:rPr>
              <w:t xml:space="preserve"> 2. </w:t>
            </w:r>
            <w:r w:rsidR="00EF550A" w:rsidRPr="00CE7500">
              <w:rPr>
                <w:sz w:val="20"/>
                <w:szCs w:val="20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0B628E">
              <w:t xml:space="preserve"> </w:t>
            </w:r>
            <w:r w:rsidR="000B628E" w:rsidRPr="000B628E">
              <w:rPr>
                <w:b/>
                <w:sz w:val="20"/>
                <w:szCs w:val="20"/>
              </w:rPr>
              <w:t>Лидерство и руководство в организации.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0B74" w:rsidRDefault="004036EE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="00EF550A" w:rsidRPr="00390D99"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EE26DD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 w:rsidR="004036EE">
              <w:rPr>
                <w:b/>
                <w:sz w:val="20"/>
                <w:szCs w:val="20"/>
                <w:lang w:val="kk-KZ"/>
              </w:rPr>
              <w:t>О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</w:t>
            </w:r>
            <w:r w:rsidRPr="00EE26DD"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4036EE" w:rsidP="00A7779F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>П 4.</w:t>
            </w:r>
            <w:r w:rsidR="00EF550A"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О</w:t>
            </w:r>
            <w:r w:rsidR="00EF550A" w:rsidRPr="0065211A">
              <w:rPr>
                <w:sz w:val="20"/>
                <w:szCs w:val="20"/>
              </w:rPr>
              <w:t xml:space="preserve"> 4.</w:t>
            </w:r>
          </w:p>
          <w:p w:rsidR="00EF550A" w:rsidRPr="00697944" w:rsidRDefault="00EF550A" w:rsidP="00A7779F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032FEF"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 4.  </w:t>
            </w:r>
            <w:r w:rsidR="00EF550A" w:rsidRPr="0065211A">
              <w:rPr>
                <w:sz w:val="20"/>
                <w:szCs w:val="20"/>
              </w:rPr>
              <w:t xml:space="preserve">Подготовьте презентацию по теме: </w:t>
            </w:r>
            <w:r w:rsidR="00EF550A" w:rsidRPr="00C66F4A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36D80" w:rsidRPr="00E36D80">
              <w:rPr>
                <w:b/>
                <w:sz w:val="20"/>
                <w:szCs w:val="20"/>
                <w:lang w:val="kk-KZ"/>
              </w:rPr>
              <w:t>Коммуникативные навыки менеджера.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3000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2452C"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>П 5.</w:t>
            </w:r>
            <w:r w:rsidR="00EF55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="00EF550A" w:rsidRPr="0032452C">
              <w:rPr>
                <w:sz w:val="20"/>
                <w:szCs w:val="20"/>
              </w:rPr>
              <w:t xml:space="preserve"> 5.</w:t>
            </w:r>
          </w:p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2452C"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>Подготовьте презентации по темам: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 w:rsidRPr="0065211A"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4036EE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6. </w:t>
            </w:r>
            <w:r w:rsidR="00EF550A" w:rsidRPr="0065211A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СРО</w:t>
            </w:r>
            <w:r w:rsidR="00EF550A" w:rsidRPr="0065211A">
              <w:rPr>
                <w:sz w:val="20"/>
                <w:szCs w:val="20"/>
              </w:rPr>
              <w:t xml:space="preserve"> </w:t>
            </w:r>
            <w:r w:rsidR="00EF550A">
              <w:rPr>
                <w:sz w:val="20"/>
                <w:szCs w:val="20"/>
              </w:rPr>
              <w:t>6</w:t>
            </w:r>
            <w:r w:rsidR="00EF550A" w:rsidRPr="0065211A">
              <w:rPr>
                <w:sz w:val="20"/>
                <w:szCs w:val="20"/>
              </w:rPr>
              <w:t>.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C61C3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4036EE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</w:t>
            </w:r>
            <w:r w:rsidRPr="0058364D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BD741D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741D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7E81"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4036EE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EF550A" w:rsidRPr="0065211A">
              <w:rPr>
                <w:b/>
                <w:sz w:val="20"/>
                <w:szCs w:val="20"/>
              </w:rPr>
              <w:t xml:space="preserve">П 7. </w:t>
            </w:r>
            <w:r w:rsidR="00EF550A"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9782" w:type="dxa"/>
            <w:gridSpan w:val="3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44D4E" w:rsidRDefault="00C44D4E" w:rsidP="00EF550A">
      <w:pPr>
        <w:spacing w:after="120"/>
        <w:jc w:val="both"/>
        <w:rPr>
          <w:b/>
          <w:sz w:val="20"/>
          <w:szCs w:val="20"/>
        </w:rPr>
      </w:pPr>
    </w:p>
    <w:p w:rsidR="00EF550A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</w:t>
      </w:r>
      <w:r w:rsidR="000E433A">
        <w:rPr>
          <w:b/>
          <w:sz w:val="20"/>
          <w:szCs w:val="20"/>
        </w:rPr>
        <w:t>______________________________ Мейрбаев Б.Б.</w:t>
      </w:r>
      <w:r w:rsidRPr="003F2DC5">
        <w:rPr>
          <w:b/>
          <w:sz w:val="20"/>
          <w:szCs w:val="20"/>
        </w:rPr>
        <w:t xml:space="preserve">  </w:t>
      </w:r>
    </w:p>
    <w:p w:rsidR="00EF550A" w:rsidRPr="003F2DC5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</w:t>
      </w:r>
    </w:p>
    <w:p w:rsidR="00EF550A" w:rsidRDefault="00EF550A" w:rsidP="00EF550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Мынбаева А. К.</w:t>
      </w:r>
    </w:p>
    <w:p w:rsidR="00C44D4E" w:rsidRDefault="00C44D4E" w:rsidP="00EF550A">
      <w:pPr>
        <w:spacing w:after="120"/>
        <w:rPr>
          <w:b/>
          <w:sz w:val="20"/>
          <w:szCs w:val="20"/>
        </w:rPr>
      </w:pPr>
    </w:p>
    <w:p w:rsidR="00EF550A" w:rsidRPr="00697944" w:rsidRDefault="00EF550A" w:rsidP="00EF550A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Махмутов А. Э.</w:t>
      </w:r>
    </w:p>
    <w:p w:rsidR="00C44D4E" w:rsidRDefault="00C44D4E" w:rsidP="00E30BF7">
      <w:pPr>
        <w:jc w:val="center"/>
        <w:rPr>
          <w:b/>
          <w:bCs/>
        </w:rPr>
      </w:pPr>
    </w:p>
    <w:p w:rsidR="00E30BF7" w:rsidRPr="001C29C0" w:rsidRDefault="00E30BF7" w:rsidP="00E30BF7">
      <w:pPr>
        <w:jc w:val="center"/>
        <w:rPr>
          <w:b/>
          <w:bCs/>
        </w:rPr>
      </w:pPr>
      <w:r w:rsidRPr="001C29C0">
        <w:rPr>
          <w:b/>
          <w:bCs/>
        </w:rPr>
        <w:lastRenderedPageBreak/>
        <w:t xml:space="preserve">РУБРИКАТОР КРИТЕРИАЛЬНОГО ОЦЕНИВАНИЯ ИТОГОВОГО КОНТРОЛЯ </w:t>
      </w:r>
    </w:p>
    <w:p w:rsidR="00E30BF7" w:rsidRDefault="00E30BF7" w:rsidP="00E30BF7">
      <w:pPr>
        <w:jc w:val="center"/>
      </w:pPr>
    </w:p>
    <w:p w:rsidR="00E30BF7" w:rsidRPr="001C29C0" w:rsidRDefault="00E30BF7" w:rsidP="00E30BF7">
      <w:pPr>
        <w:jc w:val="center"/>
      </w:pPr>
      <w:r w:rsidRPr="001C29C0"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> </w:t>
      </w:r>
      <w:r w:rsidRPr="001C29C0">
        <w:rPr>
          <w:color w:val="FF0000"/>
          <w:sz w:val="19"/>
          <w:szCs w:val="19"/>
        </w:rPr>
        <w:t xml:space="preserve"> </w:t>
      </w:r>
    </w:p>
    <w:p w:rsidR="00E30BF7" w:rsidRPr="00E30BF7" w:rsidRDefault="00E30BF7" w:rsidP="00E30BF7">
      <w:pPr>
        <w:jc w:val="center"/>
      </w:pPr>
      <w:r w:rsidRPr="00E30BF7">
        <w:rPr>
          <w:b/>
          <w:bCs/>
        </w:rPr>
        <w:t>Форма:</w:t>
      </w:r>
      <w:r w:rsidRPr="00E30BF7">
        <w:t xml:space="preserve"> Письменно</w:t>
      </w:r>
      <w:r w:rsidRPr="00E30BF7">
        <w:rPr>
          <w:b/>
          <w:bCs/>
        </w:rPr>
        <w:t xml:space="preserve">. Платформа: </w:t>
      </w:r>
      <w:r w:rsidRPr="00E30BF7">
        <w:t xml:space="preserve">Univer </w:t>
      </w:r>
      <w:r>
        <w:t>(письменно в аудитории университета).</w:t>
      </w:r>
    </w:p>
    <w:p w:rsidR="00E30BF7" w:rsidRPr="00E30BF7" w:rsidRDefault="00E30BF7" w:rsidP="00E30BF7">
      <w:pPr>
        <w:jc w:val="center"/>
        <w:rPr>
          <w:b/>
          <w:bCs/>
        </w:rPr>
      </w:pPr>
      <w:r>
        <w:rPr>
          <w:b/>
          <w:bCs/>
        </w:rPr>
        <w:t>МАГ</w:t>
      </w:r>
      <w:r w:rsidRPr="00E30BF7">
        <w:rPr>
          <w:b/>
          <w:bCs/>
        </w:rPr>
        <w:t xml:space="preserve"> СТАНДАРТНЫЙ ЭКЗАМЕН: ПИСЬМЕННО 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E30BF7" w:rsidRPr="00E30BF7" w:rsidRDefault="00E30BF7" w:rsidP="00E30BF7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 w:rsidRPr="00E30BF7"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E30BF7" w:rsidRPr="00E30BF7" w:rsidTr="000B62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E30BF7" w:rsidRPr="00E30BF7" w:rsidTr="000B62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E30BF7" w:rsidRPr="00E30BF7" w:rsidTr="000B628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E30BF7" w:rsidRPr="00E30BF7" w:rsidTr="000B62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Оценка 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E30BF7"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Оценка 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E30BF7"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Оценка </w:t>
            </w:r>
            <w:r w:rsidRPr="00E30BF7"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E30BF7"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E30BF7" w:rsidRPr="00E30BF7" w:rsidTr="000B62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допущены фактические и смысловые неточности,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теоретические знания курса использованы поверхностно.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план ответа; неумение решать задания, выполнять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заданий; неумение делать </w:t>
            </w:r>
            <w:r w:rsidRPr="00E30BF7">
              <w:rPr>
                <w:sz w:val="28"/>
                <w:szCs w:val="28"/>
                <w:vertAlign w:val="subscript"/>
              </w:rPr>
              <w:lastRenderedPageBreak/>
              <w:t>выводы и обобщения.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E30BF7" w:rsidRPr="00E30BF7" w:rsidTr="000B628E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jc w:val="both"/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E30BF7" w:rsidRPr="00E30BF7" w:rsidRDefault="00E30BF7" w:rsidP="00E30BF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b/>
                <w:bCs/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  <w:r w:rsidRPr="00E30BF7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E30BF7" w:rsidRPr="00E30BF7" w:rsidRDefault="00E30BF7" w:rsidP="00E30BF7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 w:rsidRPr="00E30BF7"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Шкала оценивания: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90-100 баллов – "Отлично",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70-89 баллов – "Хорошо",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 xml:space="preserve">25-49 – "Неудовлетворительно", 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 w:rsidRPr="00E30BF7"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noProof/>
          <w:sz w:val="19"/>
          <w:szCs w:val="19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985DD" wp14:editId="77817AE0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0B628E" w:rsidTr="000B628E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0B628E" w:rsidRPr="00A231C7" w:rsidRDefault="000B628E" w:rsidP="000B628E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0B628E" w:rsidRPr="00A231C7" w:rsidRDefault="000B628E" w:rsidP="000B62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0B628E" w:rsidRDefault="000B628E" w:rsidP="000B628E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Pr="004A4EB5" w:rsidRDefault="000B628E" w:rsidP="000B628E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Pr="004A4EB5" w:rsidRDefault="000B628E" w:rsidP="000B628E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  <w:tr w:rsidR="000B628E" w:rsidTr="000B628E">
                              <w:tc>
                                <w:tcPr>
                                  <w:tcW w:w="641" w:type="dxa"/>
                                </w:tcPr>
                                <w:p w:rsidR="000B628E" w:rsidRPr="004A4EB5" w:rsidRDefault="000B628E" w:rsidP="000B628E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023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1360" w:type="dxa"/>
                                </w:tcPr>
                                <w:p w:rsidR="000B628E" w:rsidRPr="004A4EB5" w:rsidRDefault="000B628E" w:rsidP="000B628E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628E" w:rsidRDefault="000B628E" w:rsidP="000B628E"/>
                              </w:tc>
                              <w:tc>
                                <w:tcPr>
                                  <w:tcW w:w="851" w:type="dxa"/>
                                </w:tcPr>
                                <w:p w:rsidR="000B628E" w:rsidRDefault="000B628E" w:rsidP="000B628E"/>
                              </w:tc>
                            </w:tr>
                          </w:tbl>
                          <w:p w:rsidR="000B628E" w:rsidRPr="0053136C" w:rsidRDefault="000B628E" w:rsidP="00E30BF7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985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0B628E" w:rsidTr="000B628E">
                        <w:tc>
                          <w:tcPr>
                            <w:tcW w:w="641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0B628E" w:rsidRPr="00A231C7" w:rsidRDefault="000B628E" w:rsidP="000B628E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0B628E" w:rsidRPr="00A231C7" w:rsidRDefault="000B628E" w:rsidP="000B6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0B628E" w:rsidRDefault="000B628E" w:rsidP="000B628E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  <w:vMerge/>
                          </w:tcPr>
                          <w:p w:rsidR="000B628E" w:rsidRDefault="000B628E" w:rsidP="000B628E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Pr="004A4EB5" w:rsidRDefault="000B628E" w:rsidP="000B628E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</w:tcPr>
                          <w:p w:rsidR="000B628E" w:rsidRPr="004A4EB5" w:rsidRDefault="000B628E" w:rsidP="000B628E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  <w:tr w:rsidR="000B628E" w:rsidTr="000B628E">
                        <w:tc>
                          <w:tcPr>
                            <w:tcW w:w="641" w:type="dxa"/>
                          </w:tcPr>
                          <w:p w:rsidR="000B628E" w:rsidRPr="004A4EB5" w:rsidRDefault="000B628E" w:rsidP="000B628E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023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1360" w:type="dxa"/>
                          </w:tcPr>
                          <w:p w:rsidR="000B628E" w:rsidRPr="004A4EB5" w:rsidRDefault="000B628E" w:rsidP="000B628E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B628E" w:rsidRDefault="000B628E" w:rsidP="000B628E"/>
                        </w:tc>
                        <w:tc>
                          <w:tcPr>
                            <w:tcW w:w="851" w:type="dxa"/>
                          </w:tcPr>
                          <w:p w:rsidR="000B628E" w:rsidRDefault="000B628E" w:rsidP="000B628E"/>
                        </w:tc>
                      </w:tr>
                    </w:tbl>
                    <w:p w:rsidR="000B628E" w:rsidRPr="0053136C" w:rsidRDefault="000B628E" w:rsidP="00E30BF7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0BF7"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val="kk-KZ" w:eastAsia="zh-CN"/>
        </w:rPr>
        <w:t>Понимание теорий</w:t>
      </w:r>
      <w:r w:rsidRPr="00E30BF7">
        <w:rPr>
          <w:rFonts w:eastAsiaTheme="minorEastAsia"/>
          <w:lang w:eastAsia="zh-CN"/>
        </w:rPr>
        <w:t xml:space="preserve">, концепций курса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numPr>
          <w:ilvl w:val="0"/>
          <w:numId w:val="1"/>
        </w:numPr>
        <w:spacing w:after="160" w:line="256" w:lineRule="auto"/>
        <w:contextualSpacing/>
        <w:rPr>
          <w:rFonts w:eastAsiaTheme="minorEastAsia"/>
          <w:lang w:eastAsia="zh-CN"/>
        </w:rPr>
      </w:pPr>
      <w:r w:rsidRPr="00E30BF7"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 w:rsidRPr="00E30BF7">
        <w:rPr>
          <w:rFonts w:eastAsiaTheme="minorEastAsia"/>
          <w:lang w:val="en-US" w:eastAsia="zh-CN"/>
        </w:rPr>
        <w:t>m</w:t>
      </w:r>
      <w:r w:rsidRPr="00E30BF7">
        <w:rPr>
          <w:rFonts w:eastAsiaTheme="minorEastAsia"/>
          <w:lang w:eastAsia="zh-CN"/>
        </w:rPr>
        <w:t>ах 100.</w:t>
      </w:r>
    </w:p>
    <w:p w:rsidR="00E30BF7" w:rsidRPr="00E30BF7" w:rsidRDefault="00E30BF7" w:rsidP="00E30BF7">
      <w:pPr>
        <w:spacing w:line="256" w:lineRule="auto"/>
        <w:ind w:left="720" w:firstLine="708"/>
        <w:contextualSpacing/>
        <w:rPr>
          <w:rFonts w:eastAsiaTheme="minorEastAsia"/>
          <w:lang w:eastAsia="zh-CN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E30BF7" w:rsidRPr="00E30BF7" w:rsidRDefault="00E30BF7" w:rsidP="00E30BF7">
      <w:pPr>
        <w:jc w:val="both"/>
        <w:rPr>
          <w:lang w:eastAsia="zh-CN"/>
        </w:rPr>
      </w:pPr>
    </w:p>
    <w:p w:rsidR="00E30BF7" w:rsidRPr="00E30BF7" w:rsidRDefault="00E30BF7" w:rsidP="00E30BF7">
      <w:pPr>
        <w:jc w:val="both"/>
        <w:rPr>
          <w:lang w:eastAsia="zh-CN"/>
        </w:rPr>
      </w:pPr>
      <w:r w:rsidRPr="00E30BF7">
        <w:rPr>
          <w:lang w:eastAsia="zh-CN"/>
        </w:rPr>
        <w:t xml:space="preserve">Итоговая оценка </w:t>
      </w:r>
      <w:r w:rsidRPr="00E30BF7">
        <w:rPr>
          <w:b/>
          <w:bCs/>
          <w:lang w:eastAsia="zh-CN"/>
        </w:rPr>
        <w:t>(ИО</w:t>
      </w:r>
      <w:r w:rsidRPr="00E30BF7">
        <w:rPr>
          <w:lang w:eastAsia="zh-CN"/>
        </w:rPr>
        <w:t xml:space="preserve">) </w:t>
      </w:r>
      <w:r w:rsidRPr="00E30BF7">
        <w:rPr>
          <w:b/>
          <w:bCs/>
          <w:lang w:eastAsia="zh-CN"/>
        </w:rPr>
        <w:t>= (Б1+Б2+Б3) / К</w:t>
      </w:r>
      <w:r w:rsidRPr="00E30BF7">
        <w:rPr>
          <w:lang w:eastAsia="zh-CN"/>
        </w:rPr>
        <w:t xml:space="preserve">, где </w:t>
      </w:r>
      <w:r w:rsidRPr="00E30BF7">
        <w:rPr>
          <w:b/>
          <w:bCs/>
          <w:lang w:eastAsia="zh-CN"/>
        </w:rPr>
        <w:t>Б</w:t>
      </w:r>
      <w:r w:rsidRPr="00E30BF7">
        <w:rPr>
          <w:lang w:eastAsia="zh-CN"/>
        </w:rPr>
        <w:t xml:space="preserve"> – баллы по критерию, </w:t>
      </w:r>
      <w:r w:rsidRPr="00E30BF7">
        <w:rPr>
          <w:b/>
          <w:bCs/>
          <w:lang w:eastAsia="zh-CN"/>
        </w:rPr>
        <w:t>К</w:t>
      </w:r>
      <w:r w:rsidRPr="00E30BF7">
        <w:rPr>
          <w:lang w:eastAsia="zh-CN"/>
        </w:rPr>
        <w:t xml:space="preserve"> – общее количество критериев.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  <w:r w:rsidRPr="00E30BF7"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E30BF7" w:rsidRPr="00E30BF7" w:rsidRDefault="00E30BF7" w:rsidP="00E30BF7">
      <w:pPr>
        <w:rPr>
          <w:rFonts w:eastAsiaTheme="minorEastAsia"/>
          <w:lang w:eastAsia="ru-RU"/>
        </w:rPr>
      </w:pPr>
    </w:p>
    <w:p w:rsidR="00E30BF7" w:rsidRPr="00E30BF7" w:rsidRDefault="00E30BF7" w:rsidP="00E30BF7">
      <w:pPr>
        <w:rPr>
          <w:rFonts w:eastAsiaTheme="minorEastAsia"/>
          <w:b/>
          <w:lang w:eastAsia="zh-CN"/>
        </w:rPr>
      </w:pPr>
      <w:r w:rsidRPr="00E30BF7"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E30BF7" w:rsidRPr="00E30BF7" w:rsidRDefault="00E30BF7" w:rsidP="00E30BF7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E30BF7" w:rsidRPr="00E30BF7" w:rsidRDefault="00E30BF7" w:rsidP="00E30BF7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 w:rsidRPr="00E30BF7">
        <w:rPr>
          <w:rFonts w:cs="Arial"/>
          <w:b/>
          <w:bCs/>
          <w:iCs/>
        </w:rPr>
        <w:tab/>
      </w:r>
    </w:p>
    <w:p w:rsidR="00E30BF7" w:rsidRPr="00E30BF7" w:rsidRDefault="00E30BF7" w:rsidP="00E30BF7">
      <w:pPr>
        <w:spacing w:after="200" w:line="276" w:lineRule="auto"/>
        <w:rPr>
          <w:rFonts w:eastAsia="SimSun"/>
          <w:lang w:val="kk-KZ" w:eastAsia="ru-RU"/>
        </w:rPr>
      </w:pPr>
    </w:p>
    <w:p w:rsidR="00E30BF7" w:rsidRPr="00E30BF7" w:rsidRDefault="00E30BF7" w:rsidP="00E30BF7">
      <w:pPr>
        <w:spacing w:after="200" w:line="276" w:lineRule="auto"/>
        <w:rPr>
          <w:rFonts w:eastAsia="SimSun"/>
          <w:lang w:val="kk-KZ" w:eastAsia="ru-RU"/>
        </w:rPr>
      </w:pPr>
    </w:p>
    <w:p w:rsidR="00E30BF7" w:rsidRPr="00E30BF7" w:rsidRDefault="00E30BF7" w:rsidP="00E30BF7">
      <w:pPr>
        <w:jc w:val="both"/>
        <w:rPr>
          <w:rFonts w:eastAsiaTheme="minorEastAsia"/>
          <w:b/>
          <w:lang w:eastAsia="zh-CN"/>
        </w:rPr>
      </w:pPr>
    </w:p>
    <w:p w:rsidR="00ED4BCE" w:rsidRDefault="00ED4BCE"/>
    <w:sectPr w:rsidR="00ED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E6"/>
    <w:rsid w:val="00076287"/>
    <w:rsid w:val="000B628E"/>
    <w:rsid w:val="000C7176"/>
    <w:rsid w:val="000E433A"/>
    <w:rsid w:val="001934C9"/>
    <w:rsid w:val="00217EE3"/>
    <w:rsid w:val="003E2619"/>
    <w:rsid w:val="004036EE"/>
    <w:rsid w:val="00466591"/>
    <w:rsid w:val="00615548"/>
    <w:rsid w:val="006A41E6"/>
    <w:rsid w:val="006B378B"/>
    <w:rsid w:val="006C4620"/>
    <w:rsid w:val="006F0676"/>
    <w:rsid w:val="007F5541"/>
    <w:rsid w:val="00A54105"/>
    <w:rsid w:val="00A7779F"/>
    <w:rsid w:val="00AB29CC"/>
    <w:rsid w:val="00BD741D"/>
    <w:rsid w:val="00C44D4E"/>
    <w:rsid w:val="00C5042B"/>
    <w:rsid w:val="00D83624"/>
    <w:rsid w:val="00DE1A6F"/>
    <w:rsid w:val="00E010B5"/>
    <w:rsid w:val="00E113A2"/>
    <w:rsid w:val="00E30BF7"/>
    <w:rsid w:val="00E36D80"/>
    <w:rsid w:val="00EB32FF"/>
    <w:rsid w:val="00ED4BCE"/>
    <w:rsid w:val="00EF550A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5BD-FDC9-491A-8BE6-501D02F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550A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EF550A"/>
  </w:style>
  <w:style w:type="character" w:customStyle="1" w:styleId="eop">
    <w:name w:val="eop"/>
    <w:basedOn w:val="a0"/>
    <w:rsid w:val="00EF550A"/>
  </w:style>
  <w:style w:type="paragraph" w:styleId="a5">
    <w:name w:val="No Spacing"/>
    <w:uiPriority w:val="1"/>
    <w:qFormat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010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0B5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59"/>
    <w:rsid w:val="00E30BF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27</cp:revision>
  <cp:lastPrinted>2024-11-17T11:13:00Z</cp:lastPrinted>
  <dcterms:created xsi:type="dcterms:W3CDTF">2023-09-04T06:44:00Z</dcterms:created>
  <dcterms:modified xsi:type="dcterms:W3CDTF">2025-01-23T15:45:00Z</dcterms:modified>
</cp:coreProperties>
</file>